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ascii="·ÂËÎ_GB2312" w:eastAsia="仿宋_GB2312" w:hAnsi="·ÂËÎ_GB2312" w:cs="·ÂËÎ_GB2312"/>
          <w:kern w:val="0"/>
          <w:sz w:val="30"/>
          <w:szCs w:val="30"/>
        </w:rPr>
        <w:t>1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：</w:t>
      </w:r>
    </w:p>
    <w:p w:rsidR="00C52FF8" w:rsidRDefault="00C52FF8" w:rsidP="006A31EB">
      <w:pPr>
        <w:autoSpaceDE w:val="0"/>
        <w:autoSpaceDN w:val="0"/>
        <w:adjustRightInd w:val="0"/>
        <w:jc w:val="center"/>
        <w:rPr>
          <w:rFonts w:ascii="SimSun,Bold" w:eastAsia="SimSun,Bold" w:cs="SimSun,Bold"/>
          <w:b/>
          <w:bCs/>
          <w:kern w:val="0"/>
          <w:sz w:val="36"/>
          <w:szCs w:val="36"/>
        </w:rPr>
      </w:pPr>
      <w:r>
        <w:rPr>
          <w:rFonts w:ascii="SimSun,Bold" w:eastAsia="SimSun,Bold" w:cs="SimSun,Bold" w:hint="eastAsia"/>
          <w:b/>
          <w:bCs/>
          <w:kern w:val="0"/>
          <w:sz w:val="36"/>
          <w:szCs w:val="36"/>
        </w:rPr>
        <w:t>湖南省职业教育与成人教育学会科研规划课题指南</w:t>
      </w:r>
    </w:p>
    <w:p w:rsidR="00C52FF8" w:rsidRDefault="00C52FF8" w:rsidP="006A31EB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  <w:r>
        <w:rPr>
          <w:rFonts w:ascii="SimSun,Bold" w:eastAsia="SimSun,Bold" w:cs="SimSun,Bold" w:hint="eastAsia"/>
          <w:b/>
          <w:bCs/>
          <w:kern w:val="0"/>
          <w:sz w:val="32"/>
          <w:szCs w:val="32"/>
        </w:rPr>
        <w:t>（</w:t>
      </w:r>
      <w:r>
        <w:rPr>
          <w:rFonts w:ascii="SimSun" w:eastAsia="仿宋_GB2312" w:hAnsi="SimSun" w:cs="SimSun"/>
          <w:kern w:val="0"/>
          <w:sz w:val="32"/>
          <w:szCs w:val="32"/>
        </w:rPr>
        <w:t xml:space="preserve">2018-2019 </w:t>
      </w:r>
      <w:r>
        <w:rPr>
          <w:rFonts w:ascii="宋体" w:eastAsia="宋体" w:cs="宋体" w:hint="eastAsia"/>
          <w:kern w:val="0"/>
          <w:sz w:val="32"/>
          <w:szCs w:val="32"/>
        </w:rPr>
        <w:t>年）</w:t>
      </w:r>
    </w:p>
    <w:p w:rsidR="00C52FF8" w:rsidRDefault="006A31EB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 xml:space="preserve">    </w:t>
      </w:r>
      <w:r w:rsidR="00C52FF8">
        <w:rPr>
          <w:rFonts w:ascii="仿宋_GB2312" w:eastAsia="仿宋_GB2312" w:cs="仿宋_GB2312" w:hint="eastAsia"/>
          <w:kern w:val="0"/>
          <w:sz w:val="30"/>
          <w:szCs w:val="30"/>
        </w:rPr>
        <w:t>本指南所提供的内容仅为课题研究领域和方向，供选题时参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考，可直接作为课题题目，也可根据课题指南方向，兼顾自身的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研究基础和优势，自主确定研究题目，以提高研究的针对性与实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效性。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职业教育服务科教兴国战略研究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职业教育服务人才强国战略研究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3.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职业教育服务乡村振兴战略研究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4.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职业教育服务创新驱动发展战略研究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5.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职业教育服务“一带一路”研究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6.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湖南职业教育发展战略研究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7.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现代职业教育体系建设研究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8.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高职院校“双一流”建设体制机制研究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9.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职业教育精准扶贫研究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10.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职业教育质量保障体系研究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11.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职业教育招生考试改革研究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12.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社会力量参与职业院校办学的体制机制研究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13.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职业教育教师队伍建设研究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14.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职业院校技能竞赛体制机制研究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15.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职业院校生命教育研究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Calibri" w:eastAsia="仿宋_GB2312" w:hAnsi="Calibri" w:cs="Calibri"/>
          <w:kern w:val="0"/>
          <w:sz w:val="18"/>
          <w:szCs w:val="18"/>
        </w:rPr>
      </w:pPr>
      <w:r>
        <w:rPr>
          <w:rFonts w:ascii="Calibri" w:eastAsia="仿宋_GB2312" w:hAnsi="Calibri" w:cs="Calibri"/>
          <w:kern w:val="0"/>
          <w:sz w:val="18"/>
          <w:szCs w:val="18"/>
        </w:rPr>
        <w:lastRenderedPageBreak/>
        <w:t>6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16.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职业教育产教融合机制体制研究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17.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现代学徒制的实践探索与研究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18.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“芙蓉工匠”培养研究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19.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职业院校技术技能积累与社会服务能力研究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20.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职业院校学生创新创业研究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21.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职业院校学生职业素养培养研究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22.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职业院校生产性实习实训基地建设研究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23.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职业院校实习实训体制机制研究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24.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职业院校教育教学标准化体系研究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25.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职业院校优质资源共享机制研究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26.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职业院校教学工作诊断与改进研究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27.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教育信息技术与职业教育教学有效融合研究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28.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职业教育智慧学习与教学研究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29.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职业教育网络共享课程教学模式研究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30.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社区教育资源开发与应用研究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31.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职业院校教研科研队伍建设研究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32.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职业院校教材选用及开发的质量保障机制研究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33.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高等职业院校学生毕业设计抽查研究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34.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职业院校特色专业文化建设研究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35.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职业院校学生学习能力现状及对策研究</w:t>
      </w:r>
    </w:p>
    <w:p w:rsidR="00C52FF8" w:rsidRDefault="00C52FF8" w:rsidP="00C52F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·ÂËÎ_GB2312" w:eastAsia="仿宋_GB2312" w:hAnsi="·ÂËÎ_GB2312" w:cs="·ÂËÎ_GB2312"/>
          <w:kern w:val="0"/>
          <w:sz w:val="30"/>
          <w:szCs w:val="30"/>
        </w:rPr>
        <w:t>36.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职业院校学生专业技能抽查制度研究</w:t>
      </w:r>
    </w:p>
    <w:p w:rsidR="001A44B3" w:rsidRDefault="00C52FF8" w:rsidP="00C52FF8">
      <w:r>
        <w:rPr>
          <w:rFonts w:ascii="·ÂËÎ_GB2312" w:eastAsia="仿宋_GB2312" w:hAnsi="·ÂËÎ_GB2312" w:cs="·ÂËÎ_GB2312"/>
          <w:kern w:val="0"/>
          <w:sz w:val="30"/>
          <w:szCs w:val="30"/>
        </w:rPr>
        <w:t>37.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现代职业教育质量评测体系建设研究</w:t>
      </w:r>
    </w:p>
    <w:sectPr w:rsidR="001A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B3" w:rsidRDefault="001A44B3" w:rsidP="00C52FF8">
      <w:r>
        <w:separator/>
      </w:r>
    </w:p>
  </w:endnote>
  <w:endnote w:type="continuationSeparator" w:id="1">
    <w:p w:rsidR="001A44B3" w:rsidRDefault="001A44B3" w:rsidP="00C5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,Bold">
    <w:altName w:val="报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B3" w:rsidRDefault="001A44B3" w:rsidP="00C52FF8">
      <w:r>
        <w:separator/>
      </w:r>
    </w:p>
  </w:footnote>
  <w:footnote w:type="continuationSeparator" w:id="1">
    <w:p w:rsidR="001A44B3" w:rsidRDefault="001A44B3" w:rsidP="00C52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FF8"/>
    <w:rsid w:val="001A44B3"/>
    <w:rsid w:val="006A31EB"/>
    <w:rsid w:val="00C5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2018-05-29T03:12:00Z</dcterms:created>
  <dcterms:modified xsi:type="dcterms:W3CDTF">2018-05-29T03:14:00Z</dcterms:modified>
</cp:coreProperties>
</file>